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Ludvika kommunfullmäktige</w:t>
      </w:r>
    </w:p>
    <w:p>
      <w:pPr>
        <w:pStyle w:val="Heading1"/>
      </w:pPr>
      <w:r>
        <w:t xml:space="preserve">Förbättrad kollektivtrafik på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Ludvika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Många byar saknar fungerande busslinjer. Resandet har minskat 15 procent sedan 2022 (Dalatrafik). Klimat- och tillgänglighetsmål hotas.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Ludvika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kommunstyrelsen begär utökad turtäthet på linjerna till Grängesberg och Sunnansjö.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en utredning om anropsstyrd trafik genomförs.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samverkan med Region Dalarna stärks för bättre tidtabeller.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effekterna på resande och klimat redovisas årligen.</w:t>
      </w:r>
    </w:p>
    <w:p>
      <w:pPr>
        <w:spacing w:before="360"/>
      </w:pPr>
    </w:p>
    <w:p>
      <w:r>
        <w:t xml:space="preserve">Ludvika,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Ludvika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2026-07-14T00:44:08.922Z</dcterms:created>
  <dcterms:modified xsi:type="dcterms:W3CDTF">2026-07-14T00:44:08.922Z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